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D6138" w14:textId="77777777" w:rsidR="006B1DDD" w:rsidRPr="001A4CBA" w:rsidRDefault="006B1DDD" w:rsidP="006B1DDD">
      <w:pPr>
        <w:spacing w:after="0" w:line="240" w:lineRule="auto"/>
        <w:rPr>
          <w:rFonts w:ascii="Times New Roman" w:hAnsi="Times New Roman" w:cs="Times New Roman"/>
          <w:b/>
          <w:sz w:val="24"/>
          <w:szCs w:val="24"/>
          <w:lang w:val="en-CA"/>
        </w:rPr>
      </w:pPr>
      <w:r w:rsidRPr="001A4CBA">
        <w:rPr>
          <w:rFonts w:ascii="Times New Roman" w:hAnsi="Times New Roman" w:cs="Times New Roman"/>
          <w:b/>
          <w:sz w:val="24"/>
          <w:szCs w:val="24"/>
          <w:lang w:val="en-CA"/>
        </w:rPr>
        <w:t>CANADA</w:t>
      </w:r>
    </w:p>
    <w:p w14:paraId="48D75BCA" w14:textId="77777777" w:rsidR="006B1DDD" w:rsidRPr="001A4CBA" w:rsidRDefault="006B1DDD" w:rsidP="006B1DDD">
      <w:pPr>
        <w:spacing w:after="0" w:line="240" w:lineRule="auto"/>
        <w:rPr>
          <w:rFonts w:ascii="Times New Roman" w:hAnsi="Times New Roman" w:cs="Times New Roman"/>
          <w:b/>
          <w:color w:val="000000"/>
          <w:sz w:val="24"/>
          <w:szCs w:val="24"/>
          <w:lang w:val="en-CA" w:eastAsia="en-CA"/>
        </w:rPr>
      </w:pPr>
    </w:p>
    <w:p w14:paraId="08E92D70" w14:textId="77777777" w:rsidR="006B1DDD" w:rsidRPr="001A4CBA" w:rsidRDefault="006B1DDD" w:rsidP="006B1DDD">
      <w:pPr>
        <w:spacing w:after="0" w:line="240" w:lineRule="auto"/>
        <w:rPr>
          <w:rFonts w:ascii="Times New Roman" w:hAnsi="Times New Roman" w:cs="Times New Roman"/>
          <w:color w:val="000000"/>
          <w:sz w:val="24"/>
          <w:szCs w:val="24"/>
          <w:lang w:val="en-CA" w:eastAsia="en-CA"/>
        </w:rPr>
      </w:pPr>
      <w:r w:rsidRPr="001A4CBA">
        <w:rPr>
          <w:rFonts w:ascii="Times New Roman" w:hAnsi="Times New Roman" w:cs="Times New Roman"/>
          <w:b/>
          <w:color w:val="000000"/>
          <w:sz w:val="24"/>
          <w:szCs w:val="24"/>
          <w:lang w:val="en-CA" w:eastAsia="en-CA"/>
        </w:rPr>
        <w:t xml:space="preserve">Executive Summary </w:t>
      </w:r>
    </w:p>
    <w:p w14:paraId="7480E3C5" w14:textId="77777777" w:rsidR="006B1DDD" w:rsidRPr="001A4CBA" w:rsidRDefault="006B1DDD" w:rsidP="006B1DDD">
      <w:pPr>
        <w:spacing w:after="0" w:line="240" w:lineRule="auto"/>
        <w:rPr>
          <w:rFonts w:ascii="Times New Roman" w:hAnsi="Times New Roman" w:cs="Times New Roman"/>
          <w:sz w:val="24"/>
          <w:szCs w:val="24"/>
          <w:lang w:val="en-CA"/>
        </w:rPr>
      </w:pPr>
    </w:p>
    <w:p w14:paraId="0FAF04B7" w14:textId="77777777" w:rsidR="006B1DDD" w:rsidRPr="001A4CBA" w:rsidRDefault="006B1DDD" w:rsidP="006B1DDD">
      <w:pPr>
        <w:autoSpaceDE w:val="0"/>
        <w:autoSpaceDN w:val="0"/>
        <w:adjustRightInd w:val="0"/>
        <w:spacing w:line="240" w:lineRule="auto"/>
        <w:rPr>
          <w:rFonts w:asciiTheme="majorHAnsi" w:hAnsiTheme="majorHAnsi" w:cs="TimesNewRomanPSMT"/>
          <w:sz w:val="24"/>
          <w:szCs w:val="24"/>
          <w:lang w:val="en-CA" w:eastAsia="en-CA"/>
        </w:rPr>
      </w:pPr>
      <w:r w:rsidRPr="001A4CBA">
        <w:rPr>
          <w:rFonts w:asciiTheme="majorHAnsi" w:hAnsiTheme="majorHAnsi"/>
          <w:sz w:val="24"/>
          <w:szCs w:val="24"/>
          <w:lang w:val="en-CA"/>
        </w:rPr>
        <w:t xml:space="preserve">ICCAT Recommendation 17-02 requires each </w:t>
      </w:r>
      <w:r w:rsidRPr="001A4CBA">
        <w:rPr>
          <w:rFonts w:asciiTheme="majorHAnsi" w:hAnsiTheme="majorHAnsi"/>
          <w:sz w:val="24"/>
          <w:szCs w:val="24"/>
          <w:lang w:val="en-CA" w:eastAsia="en-CA"/>
        </w:rPr>
        <w:t>Contracting Party, and Cooperating non-Contracting Party, Entity or Fishing Entity to</w:t>
      </w:r>
      <w:r w:rsidRPr="001A4CBA">
        <w:rPr>
          <w:rFonts w:asciiTheme="majorHAnsi" w:hAnsiTheme="majorHAnsi"/>
          <w:sz w:val="24"/>
          <w:szCs w:val="24"/>
          <w:lang w:val="en-CA"/>
        </w:rPr>
        <w:t xml:space="preserve"> submit modifications to its swordfish development or fishing/management plan to the Secretariat by September 15. This document describes the history, management, socio-economic and future aspirations of the Canadian North Atlantic Swordfish fishery.  </w:t>
      </w:r>
    </w:p>
    <w:p w14:paraId="4854959B" w14:textId="77777777" w:rsidR="006B1DDD" w:rsidRPr="001A4CBA" w:rsidRDefault="006B1DDD" w:rsidP="006B1DDD">
      <w:pPr>
        <w:shd w:val="clear" w:color="auto" w:fill="FFFFFF"/>
        <w:spacing w:before="150" w:after="150" w:line="240" w:lineRule="auto"/>
        <w:ind w:right="150"/>
        <w:rPr>
          <w:rFonts w:asciiTheme="majorHAnsi" w:eastAsia="Times New Roman" w:hAnsiTheme="majorHAnsi" w:cs="Times New Roman"/>
          <w:color w:val="000000"/>
          <w:sz w:val="24"/>
          <w:szCs w:val="24"/>
          <w:lang w:val="en-CA" w:eastAsia="en-CA"/>
        </w:rPr>
      </w:pPr>
      <w:r w:rsidRPr="001A4CBA">
        <w:rPr>
          <w:rFonts w:asciiTheme="majorHAnsi" w:eastAsia="Times New Roman" w:hAnsiTheme="majorHAnsi" w:cs="Times New Roman"/>
          <w:color w:val="000000"/>
          <w:sz w:val="24"/>
          <w:szCs w:val="24"/>
          <w:lang w:val="en-CA" w:eastAsia="en-CA"/>
        </w:rPr>
        <w:t>Canada’s history of fishing North Atlantic swordfish dates back to the 1880s. Today, this exclusively commercial fishery continues to be socially and economically important to many coastal and Indigenous communities throughout Atlantic Canada.  The annual landings generate over $17 million (in 2016) of revenue over several Atlantic ports.</w:t>
      </w:r>
    </w:p>
    <w:p w14:paraId="6FFC2CD4" w14:textId="77777777" w:rsidR="006B1DDD" w:rsidRPr="001A4CBA" w:rsidRDefault="006B1DDD" w:rsidP="006B1DDD">
      <w:pPr>
        <w:shd w:val="clear" w:color="auto" w:fill="FFFFFF"/>
        <w:spacing w:before="150" w:after="150" w:line="240" w:lineRule="auto"/>
        <w:ind w:right="150"/>
        <w:rPr>
          <w:rFonts w:asciiTheme="majorHAnsi" w:eastAsia="Times New Roman" w:hAnsiTheme="majorHAnsi" w:cs="Times New Roman"/>
          <w:color w:val="000000"/>
          <w:sz w:val="24"/>
          <w:szCs w:val="24"/>
          <w:lang w:val="en-CA" w:eastAsia="en-CA"/>
        </w:rPr>
      </w:pPr>
      <w:r>
        <w:rPr>
          <w:rFonts w:asciiTheme="majorHAnsi" w:eastAsia="Times New Roman" w:hAnsiTheme="majorHAnsi" w:cs="Times New Roman"/>
          <w:color w:val="000000"/>
          <w:sz w:val="24"/>
          <w:szCs w:val="24"/>
          <w:lang w:val="en-CA" w:eastAsia="en-CA"/>
        </w:rPr>
        <w:t>Canada’s 2020</w:t>
      </w:r>
      <w:r w:rsidRPr="001A4CBA">
        <w:rPr>
          <w:rFonts w:asciiTheme="majorHAnsi" w:eastAsia="Times New Roman" w:hAnsiTheme="majorHAnsi" w:cs="Times New Roman"/>
          <w:color w:val="000000"/>
          <w:sz w:val="24"/>
          <w:szCs w:val="24"/>
          <w:lang w:val="en-CA" w:eastAsia="en-CA"/>
        </w:rPr>
        <w:t xml:space="preserve"> initial allocation of North Atlantic swordfish was 1,348 metric tonnes (t); from which five t was allocated to Canada’s offshore tuna fleet for swordfish bycatch.  The remaining allocation was shared between two fleets targeting North Atlantic swordfish. 90 per cent is allocated to the longline fleet and 10 per cent to the harpoon fleet. </w:t>
      </w:r>
      <w:r>
        <w:rPr>
          <w:rFonts w:asciiTheme="majorHAnsi" w:eastAsia="Times New Roman" w:hAnsiTheme="majorHAnsi" w:cs="Times New Roman"/>
          <w:color w:val="000000"/>
          <w:sz w:val="24"/>
          <w:szCs w:val="24"/>
          <w:lang w:val="en-CA" w:eastAsia="en-CA"/>
        </w:rPr>
        <w:t xml:space="preserve"> </w:t>
      </w:r>
      <w:r w:rsidRPr="001A4CBA">
        <w:rPr>
          <w:rFonts w:asciiTheme="majorHAnsi" w:eastAsia="Times New Roman" w:hAnsiTheme="majorHAnsi" w:cs="Times New Roman"/>
          <w:color w:val="000000"/>
          <w:sz w:val="24"/>
          <w:szCs w:val="24"/>
          <w:lang w:val="en-CA" w:eastAsia="en-CA"/>
        </w:rPr>
        <w:t>In 2020, Canada test</w:t>
      </w:r>
      <w:r>
        <w:rPr>
          <w:rFonts w:asciiTheme="majorHAnsi" w:eastAsia="Times New Roman" w:hAnsiTheme="majorHAnsi" w:cs="Times New Roman"/>
          <w:color w:val="000000"/>
          <w:sz w:val="24"/>
          <w:szCs w:val="24"/>
          <w:lang w:val="en-CA" w:eastAsia="en-CA"/>
        </w:rPr>
        <w:t>ed</w:t>
      </w:r>
      <w:r w:rsidRPr="001A4CBA">
        <w:rPr>
          <w:rFonts w:asciiTheme="majorHAnsi" w:eastAsia="Times New Roman" w:hAnsiTheme="majorHAnsi" w:cs="Times New Roman"/>
          <w:color w:val="000000"/>
          <w:sz w:val="24"/>
          <w:szCs w:val="24"/>
          <w:lang w:val="en-CA" w:eastAsia="en-CA"/>
        </w:rPr>
        <w:t xml:space="preserve"> the viability of a rod and reel swordfish fishery. </w:t>
      </w:r>
      <w:r w:rsidRPr="00CB716F">
        <w:rPr>
          <w:rFonts w:asciiTheme="majorHAnsi" w:eastAsia="Times New Roman" w:hAnsiTheme="majorHAnsi" w:cs="Times New Roman"/>
          <w:color w:val="000000"/>
          <w:sz w:val="24"/>
          <w:szCs w:val="24"/>
          <w:lang w:val="en-CA" w:eastAsia="en-CA"/>
        </w:rPr>
        <w:t>In 2021, Canada will run an exploratory tended buoy fishery. Commercial longline licence holders will be testing this new gear type. The fishery will be evaluated by Canadian CPC scientists for bycatch rates.</w:t>
      </w:r>
      <w:r w:rsidRPr="00CB716F" w:rsidDel="00CB716F">
        <w:rPr>
          <w:rFonts w:asciiTheme="majorHAnsi" w:eastAsia="Times New Roman" w:hAnsiTheme="majorHAnsi" w:cs="Times New Roman"/>
          <w:color w:val="000000"/>
          <w:sz w:val="24"/>
          <w:szCs w:val="24"/>
          <w:lang w:val="en-CA" w:eastAsia="en-CA"/>
        </w:rPr>
        <w:t xml:space="preserve"> </w:t>
      </w:r>
    </w:p>
    <w:p w14:paraId="3850B2D5" w14:textId="77777777" w:rsidR="006B1DDD" w:rsidRPr="001A4CBA" w:rsidRDefault="006B1DDD" w:rsidP="006B1DDD">
      <w:pPr>
        <w:spacing w:before="150" w:after="150" w:line="240" w:lineRule="auto"/>
        <w:ind w:right="150"/>
        <w:rPr>
          <w:rFonts w:asciiTheme="majorHAnsi" w:eastAsia="Times New Roman" w:hAnsiTheme="majorHAnsi" w:cs="Times New Roman"/>
          <w:color w:val="000000"/>
          <w:sz w:val="24"/>
          <w:szCs w:val="24"/>
          <w:lang w:val="en-CA" w:eastAsia="en-US"/>
        </w:rPr>
      </w:pPr>
      <w:r w:rsidRPr="001A4CBA">
        <w:rPr>
          <w:rFonts w:asciiTheme="majorHAnsi" w:hAnsiTheme="majorHAnsi"/>
          <w:color w:val="000000"/>
          <w:sz w:val="24"/>
          <w:szCs w:val="24"/>
          <w:lang w:val="en-CA"/>
        </w:rPr>
        <w:t xml:space="preserve">From 2011 to 2016, Canada consistently demonstrated its ability to fully utilize its ICCAT quota </w:t>
      </w:r>
      <w:r w:rsidRPr="001A4CBA">
        <w:rPr>
          <w:rFonts w:asciiTheme="majorHAnsi" w:hAnsiTheme="majorHAnsi"/>
          <w:sz w:val="24"/>
          <w:szCs w:val="24"/>
          <w:lang w:val="en-CA"/>
        </w:rPr>
        <w:t>with average annual landings of 115 per cent of its annual allocations during that 6 year period. Since 2004, Canada has been allocated 1,348t of the ICCAT quota allocations (or 10.5 per cent of the catch limits).</w:t>
      </w:r>
      <w:r w:rsidRPr="001A4CBA">
        <w:rPr>
          <w:rFonts w:asciiTheme="majorHAnsi" w:hAnsiTheme="majorHAnsi"/>
          <w:sz w:val="24"/>
          <w:szCs w:val="24"/>
          <w:lang w:val="en-CA" w:eastAsia="en-CA"/>
        </w:rPr>
        <w:t xml:space="preserve"> </w:t>
      </w:r>
      <w:r w:rsidRPr="001A4CBA">
        <w:rPr>
          <w:rFonts w:asciiTheme="majorHAnsi" w:hAnsiTheme="majorHAnsi"/>
          <w:sz w:val="24"/>
          <w:szCs w:val="24"/>
          <w:lang w:val="en-CA"/>
        </w:rPr>
        <w:t xml:space="preserve">Nevertheless, Canada has landed approximately 12 per cent of the overall catch for North Atlantic swordfish annually over the past </w:t>
      </w:r>
      <w:r>
        <w:rPr>
          <w:rFonts w:asciiTheme="majorHAnsi" w:hAnsiTheme="majorHAnsi"/>
          <w:sz w:val="24"/>
          <w:szCs w:val="24"/>
          <w:lang w:val="en-CA"/>
        </w:rPr>
        <w:t>10</w:t>
      </w:r>
      <w:r w:rsidRPr="001A4CBA">
        <w:rPr>
          <w:rFonts w:asciiTheme="majorHAnsi" w:hAnsiTheme="majorHAnsi"/>
          <w:sz w:val="24"/>
          <w:szCs w:val="24"/>
          <w:lang w:val="en-CA"/>
        </w:rPr>
        <w:t xml:space="preserve"> years due to receiving quota transfers.</w:t>
      </w:r>
      <w:r w:rsidRPr="001A4CBA">
        <w:rPr>
          <w:rFonts w:asciiTheme="majorHAnsi" w:hAnsiTheme="majorHAnsi"/>
          <w:sz w:val="24"/>
          <w:szCs w:val="24"/>
          <w:lang w:val="en-CA" w:eastAsia="en-CA"/>
        </w:rPr>
        <w:t xml:space="preserve"> </w:t>
      </w:r>
    </w:p>
    <w:p w14:paraId="0AE96BED" w14:textId="77777777" w:rsidR="006B1DDD" w:rsidRPr="001A4CBA" w:rsidRDefault="006B1DDD" w:rsidP="006B1DDD">
      <w:pPr>
        <w:tabs>
          <w:tab w:val="left" w:pos="0"/>
          <w:tab w:val="left" w:pos="720"/>
        </w:tabs>
        <w:spacing w:after="0" w:line="240" w:lineRule="auto"/>
        <w:rPr>
          <w:rFonts w:asciiTheme="majorHAnsi" w:eastAsia="Times New Roman" w:hAnsiTheme="majorHAnsi" w:cs="Times New Roman"/>
          <w:iCs/>
          <w:color w:val="000000"/>
          <w:sz w:val="24"/>
          <w:szCs w:val="24"/>
          <w:lang w:val="en-CA" w:eastAsia="en-CA"/>
        </w:rPr>
      </w:pPr>
      <w:r w:rsidRPr="001A4CBA">
        <w:rPr>
          <w:rFonts w:asciiTheme="majorHAnsi" w:eastAsia="Times New Roman" w:hAnsiTheme="majorHAnsi" w:cs="Times New Roman"/>
          <w:sz w:val="24"/>
          <w:szCs w:val="24"/>
          <w:lang w:val="en-CA" w:eastAsia="en-US"/>
        </w:rPr>
        <w:t xml:space="preserve">As the foundation for reliable research and stock assessments, Canada collects, among other things, catch and effort data for all fishing trips. Beginning in 1996, an industry-funded dockside monitoring program (DMP) was instituted in Atlantic Canada to provide independent third party verification of logbook submissions. </w:t>
      </w:r>
      <w:r w:rsidRPr="001A4CBA">
        <w:rPr>
          <w:rFonts w:asciiTheme="majorHAnsi" w:eastAsia="Times New Roman" w:hAnsiTheme="majorHAnsi" w:cs="Times New Roman"/>
          <w:sz w:val="24"/>
          <w:szCs w:val="24"/>
          <w:lang w:val="en-CA" w:eastAsia="en-CA"/>
        </w:rPr>
        <w:t xml:space="preserve">Canada’s DMP is conducted by certified agents who oversee all 100 per cent offloads of swordfish in Atlantic Canada as well as enter logbook data into a central database. The DMP ensures that precise and reliable information is collected on the </w:t>
      </w:r>
      <w:r w:rsidRPr="001A4CBA">
        <w:rPr>
          <w:rFonts w:asciiTheme="majorHAnsi" w:eastAsia="Times New Roman" w:hAnsiTheme="majorHAnsi" w:cs="Times New Roman"/>
          <w:iCs/>
          <w:color w:val="000000"/>
          <w:sz w:val="24"/>
          <w:szCs w:val="24"/>
          <w:lang w:val="en-CA" w:eastAsia="en-CA"/>
        </w:rPr>
        <w:t xml:space="preserve">number of fish caught, their weight, effort, environmental conditions, and other vital statistics. This data is </w:t>
      </w:r>
      <w:r w:rsidRPr="001A4CBA">
        <w:rPr>
          <w:rFonts w:asciiTheme="majorHAnsi" w:eastAsia="Times New Roman" w:hAnsiTheme="majorHAnsi" w:cs="Times New Roman"/>
          <w:sz w:val="24"/>
          <w:szCs w:val="24"/>
          <w:lang w:val="en-CA" w:eastAsia="en-CA"/>
        </w:rPr>
        <w:t>available in real-time to fisheries managers, scientists, and enforcement officers.</w:t>
      </w:r>
      <w:r w:rsidRPr="001A4CBA">
        <w:rPr>
          <w:rFonts w:asciiTheme="majorHAnsi" w:eastAsia="Times New Roman" w:hAnsiTheme="majorHAnsi" w:cs="Times New Roman"/>
          <w:iCs/>
          <w:color w:val="000000"/>
          <w:sz w:val="24"/>
          <w:szCs w:val="24"/>
          <w:lang w:val="en-CA" w:eastAsia="en-CA"/>
        </w:rPr>
        <w:t xml:space="preserve">  </w:t>
      </w:r>
    </w:p>
    <w:p w14:paraId="37DE0EB5" w14:textId="77777777" w:rsidR="006B1DDD" w:rsidRPr="001A4CBA" w:rsidRDefault="006B1DDD" w:rsidP="006B1DDD">
      <w:pPr>
        <w:tabs>
          <w:tab w:val="left" w:pos="0"/>
          <w:tab w:val="left" w:pos="720"/>
        </w:tabs>
        <w:spacing w:after="0" w:line="240" w:lineRule="auto"/>
        <w:rPr>
          <w:rFonts w:asciiTheme="majorHAnsi" w:eastAsia="Times New Roman" w:hAnsiTheme="majorHAnsi" w:cs="Times New Roman"/>
          <w:color w:val="000000"/>
          <w:sz w:val="24"/>
          <w:szCs w:val="24"/>
          <w:lang w:val="en-CA" w:eastAsia="en-CA"/>
        </w:rPr>
      </w:pPr>
    </w:p>
    <w:p w14:paraId="5CE704A7" w14:textId="77777777" w:rsidR="006B1DDD" w:rsidRDefault="006B1DDD" w:rsidP="006B1DDD">
      <w:pPr>
        <w:rPr>
          <w:rFonts w:ascii="Calibri" w:hAnsi="Calibri" w:cs="Calibri"/>
        </w:rPr>
      </w:pPr>
      <w:r w:rsidRPr="001A4CBA">
        <w:rPr>
          <w:rFonts w:asciiTheme="majorHAnsi" w:eastAsia="Times New Roman" w:hAnsiTheme="majorHAnsi" w:cs="Times New Roman"/>
          <w:color w:val="000000"/>
          <w:sz w:val="24"/>
          <w:szCs w:val="24"/>
          <w:lang w:val="en-CA" w:eastAsia="en-US"/>
        </w:rPr>
        <w:t xml:space="preserve">Canada’s comprehensive approach to enforcement also includes the requirement for vessel monitoring system (VMS) on all longline vessels, despite only two of Canada’s 77 pelagic longline vessels being over 20 meters in length and thus subject to ICCAT’s VMS measure. </w:t>
      </w:r>
    </w:p>
    <w:p w14:paraId="14029F2F" w14:textId="09882E9F" w:rsidR="006B1DDD" w:rsidRPr="001A4CBA" w:rsidRDefault="006B1DDD" w:rsidP="00F943B0">
      <w:pPr>
        <w:rPr>
          <w:rFonts w:asciiTheme="majorHAnsi" w:eastAsia="Times New Roman" w:hAnsiTheme="majorHAnsi" w:cs="Times New Roman"/>
          <w:color w:val="000000"/>
          <w:sz w:val="24"/>
          <w:szCs w:val="24"/>
          <w:lang w:val="en-CA" w:eastAsia="en-US"/>
        </w:rPr>
      </w:pPr>
      <w:r w:rsidRPr="00CB716F">
        <w:rPr>
          <w:rFonts w:asciiTheme="majorHAnsi" w:eastAsia="Times New Roman" w:hAnsiTheme="majorHAnsi" w:cs="Times New Roman"/>
          <w:color w:val="000000"/>
          <w:sz w:val="24"/>
          <w:szCs w:val="24"/>
          <w:lang w:val="en-CA" w:eastAsia="en-US"/>
        </w:rPr>
        <w:t xml:space="preserve">Monitoring and Enforcement of Canada's swordfish management measures is a key part in ensuring the sustainability of the swordfish species. Fisheries and Oceans Canada Fishery Officers utilize a variety of methods to monitor swordfish fishing activity to ensure </w:t>
      </w:r>
      <w:r w:rsidRPr="00CB716F">
        <w:rPr>
          <w:rFonts w:asciiTheme="majorHAnsi" w:eastAsia="Times New Roman" w:hAnsiTheme="majorHAnsi" w:cs="Times New Roman"/>
          <w:color w:val="000000"/>
          <w:sz w:val="24"/>
          <w:szCs w:val="24"/>
          <w:lang w:val="en-CA" w:eastAsia="en-US"/>
        </w:rPr>
        <w:lastRenderedPageBreak/>
        <w:t>compliance with swordfish fisheries management measures, including aerial surveillance, at-sea and port inspections, at-sea observers, and vessel monitoring systems.. In addition to at-sea and in port inspections, Fishery Officers inspect swordfish buying/ processing facilities and conduct audits of the dock-side monitoring program in this fishery. In 2020, a total of 175.5 Fishery Officer enforcement hours were expended on the swordfish fishery. At-sea observers are targeted for deployment on 10% of swordfish fishing trips, despite no ICCAT requirements for at-sea observer’s onboard swordfish vessels less than 20 meters.</w:t>
      </w:r>
      <w:bookmarkStart w:id="0" w:name="_GoBack"/>
      <w:bookmarkEnd w:id="0"/>
    </w:p>
    <w:p w14:paraId="43A18BF7" w14:textId="77777777" w:rsidR="006B1DDD" w:rsidRPr="001A4CBA" w:rsidRDefault="006B1DDD" w:rsidP="006B1DDD">
      <w:pPr>
        <w:spacing w:after="0" w:line="240" w:lineRule="auto"/>
        <w:ind w:right="150"/>
        <w:rPr>
          <w:rFonts w:asciiTheme="majorHAnsi" w:eastAsia="Times New Roman" w:hAnsiTheme="majorHAnsi" w:cs="Times New Roman"/>
          <w:color w:val="000000"/>
          <w:sz w:val="24"/>
          <w:szCs w:val="24"/>
          <w:lang w:val="en-CA" w:eastAsia="en-US"/>
        </w:rPr>
      </w:pPr>
      <w:r w:rsidRPr="001A4CBA">
        <w:rPr>
          <w:rFonts w:asciiTheme="majorHAnsi" w:eastAsia="Times New Roman" w:hAnsiTheme="majorHAnsi" w:cs="Times New Roman"/>
          <w:color w:val="000000"/>
          <w:sz w:val="24"/>
          <w:szCs w:val="24"/>
          <w:lang w:val="en-CA" w:eastAsia="en-CA"/>
        </w:rPr>
        <w:t xml:space="preserve">Since 2012, in recognition of the strong management regime which is in place for these fisheries in Canada, both the longline and harpoon fleets targeting North Atlantic swordfish have been awarded Marine Stewardship Council certification. </w:t>
      </w:r>
      <w:r w:rsidRPr="001A4CBA">
        <w:rPr>
          <w:rFonts w:asciiTheme="majorHAnsi" w:eastAsia="Times New Roman" w:hAnsiTheme="majorHAnsi" w:cs="Times New Roman"/>
          <w:color w:val="000000"/>
          <w:sz w:val="24"/>
          <w:szCs w:val="24"/>
          <w:lang w:val="en-CA" w:eastAsia="en-US"/>
        </w:rPr>
        <w:t xml:space="preserve">Canada is the first ICCAT member to obtain this certification for its entire swordfish fleet. </w:t>
      </w:r>
    </w:p>
    <w:p w14:paraId="27835DEC" w14:textId="77777777" w:rsidR="006B1DDD" w:rsidRPr="001A4CBA" w:rsidRDefault="006B1DDD" w:rsidP="006B1DDD">
      <w:pPr>
        <w:spacing w:after="0" w:line="240" w:lineRule="auto"/>
        <w:ind w:right="150"/>
        <w:rPr>
          <w:rFonts w:asciiTheme="majorHAnsi" w:eastAsia="Times New Roman" w:hAnsiTheme="majorHAnsi" w:cs="Times New Roman"/>
          <w:color w:val="000000"/>
          <w:sz w:val="24"/>
          <w:szCs w:val="24"/>
          <w:lang w:val="en-CA" w:eastAsia="en-US"/>
        </w:rPr>
      </w:pPr>
    </w:p>
    <w:p w14:paraId="75B6DC61" w14:textId="77777777" w:rsidR="006B1DDD" w:rsidRPr="00CB716F" w:rsidRDefault="006B1DDD" w:rsidP="006B1DDD">
      <w:pPr>
        <w:spacing w:line="240" w:lineRule="auto"/>
        <w:rPr>
          <w:rFonts w:asciiTheme="majorHAnsi" w:hAnsiTheme="majorHAnsi"/>
          <w:color w:val="000000"/>
          <w:sz w:val="24"/>
          <w:szCs w:val="24"/>
          <w:lang w:val="en-CA"/>
        </w:rPr>
      </w:pPr>
      <w:r w:rsidRPr="001A4CBA">
        <w:rPr>
          <w:rFonts w:asciiTheme="majorHAnsi" w:hAnsiTheme="majorHAnsi"/>
          <w:color w:val="000000"/>
          <w:sz w:val="24"/>
          <w:szCs w:val="24"/>
          <w:lang w:val="en-CA"/>
        </w:rPr>
        <w:t xml:space="preserve">Canada has been a leader in supporting ICCAT’s scientific investigations of the swordfish resources in the Atlantic for the past several decades.  As a result of Canada’s well-recognized ability to collect and maintain fisheries statistics of importance to the stock assessment, Canada contributes the longest series of catch rate information to the North Atlantic stock assessment, commencing in 1963. Additionally, to determine post-release mortality of the shortfin </w:t>
      </w:r>
      <w:proofErr w:type="spellStart"/>
      <w:r w:rsidRPr="001A4CBA">
        <w:rPr>
          <w:rFonts w:asciiTheme="majorHAnsi" w:hAnsiTheme="majorHAnsi"/>
          <w:color w:val="000000"/>
          <w:sz w:val="24"/>
          <w:szCs w:val="24"/>
          <w:lang w:val="en-CA"/>
        </w:rPr>
        <w:t>mako</w:t>
      </w:r>
      <w:proofErr w:type="spellEnd"/>
      <w:r w:rsidRPr="001A4CBA">
        <w:rPr>
          <w:rFonts w:asciiTheme="majorHAnsi" w:hAnsiTheme="majorHAnsi"/>
          <w:color w:val="000000"/>
          <w:sz w:val="24"/>
          <w:szCs w:val="24"/>
          <w:lang w:val="en-CA"/>
        </w:rPr>
        <w:t xml:space="preserve"> shark and </w:t>
      </w:r>
      <w:proofErr w:type="spellStart"/>
      <w:r w:rsidRPr="001A4CBA">
        <w:rPr>
          <w:rFonts w:asciiTheme="majorHAnsi" w:hAnsiTheme="majorHAnsi"/>
          <w:color w:val="000000"/>
          <w:sz w:val="24"/>
          <w:szCs w:val="24"/>
          <w:lang w:val="en-CA"/>
        </w:rPr>
        <w:t>porbeagle</w:t>
      </w:r>
      <w:proofErr w:type="spellEnd"/>
      <w:r w:rsidRPr="001A4CBA">
        <w:rPr>
          <w:rFonts w:asciiTheme="majorHAnsi" w:hAnsiTheme="majorHAnsi"/>
          <w:color w:val="000000"/>
          <w:sz w:val="24"/>
          <w:szCs w:val="24"/>
          <w:lang w:val="en-CA"/>
        </w:rPr>
        <w:t xml:space="preserve"> shark, and contribute to total fishing mortality for inclusion in future national and international stock assessments; Canada undertook a 3 year research project deploying short term Pop-up Satellite Archival Tags</w:t>
      </w:r>
      <w:r>
        <w:rPr>
          <w:rFonts w:asciiTheme="majorHAnsi" w:hAnsiTheme="majorHAnsi"/>
          <w:color w:val="000000"/>
          <w:sz w:val="24"/>
          <w:szCs w:val="24"/>
          <w:lang w:val="en-CA"/>
        </w:rPr>
        <w:t xml:space="preserve"> (PSAT)</w:t>
      </w:r>
      <w:r w:rsidRPr="001A4CBA">
        <w:rPr>
          <w:rFonts w:asciiTheme="majorHAnsi" w:hAnsiTheme="majorHAnsi"/>
          <w:color w:val="000000"/>
          <w:sz w:val="24"/>
          <w:szCs w:val="24"/>
          <w:lang w:val="en-CA"/>
        </w:rPr>
        <w:t xml:space="preserve"> on live released shortfin </w:t>
      </w:r>
      <w:proofErr w:type="spellStart"/>
      <w:r w:rsidRPr="001A4CBA">
        <w:rPr>
          <w:rFonts w:asciiTheme="majorHAnsi" w:hAnsiTheme="majorHAnsi"/>
          <w:color w:val="000000"/>
          <w:sz w:val="24"/>
          <w:szCs w:val="24"/>
          <w:lang w:val="en-CA"/>
        </w:rPr>
        <w:t>mako</w:t>
      </w:r>
      <w:proofErr w:type="spellEnd"/>
      <w:r w:rsidRPr="001A4CBA">
        <w:rPr>
          <w:rFonts w:asciiTheme="majorHAnsi" w:hAnsiTheme="majorHAnsi"/>
          <w:color w:val="000000"/>
          <w:sz w:val="24"/>
          <w:szCs w:val="24"/>
          <w:lang w:val="en-CA"/>
        </w:rPr>
        <w:t xml:space="preserve"> sharks and </w:t>
      </w:r>
      <w:proofErr w:type="spellStart"/>
      <w:r w:rsidRPr="001A4CBA">
        <w:rPr>
          <w:rFonts w:asciiTheme="majorHAnsi" w:hAnsiTheme="majorHAnsi"/>
          <w:color w:val="000000"/>
          <w:sz w:val="24"/>
          <w:szCs w:val="24"/>
          <w:lang w:val="en-CA"/>
        </w:rPr>
        <w:t>porbeagle</w:t>
      </w:r>
      <w:proofErr w:type="spellEnd"/>
      <w:r w:rsidRPr="001A4CBA">
        <w:rPr>
          <w:rFonts w:asciiTheme="majorHAnsi" w:hAnsiTheme="majorHAnsi"/>
          <w:color w:val="000000"/>
          <w:sz w:val="24"/>
          <w:szCs w:val="24"/>
          <w:lang w:val="en-CA"/>
        </w:rPr>
        <w:t xml:space="preserve"> sharks caught in the longline fishery. </w:t>
      </w:r>
      <w:r w:rsidRPr="00CB716F">
        <w:rPr>
          <w:rFonts w:asciiTheme="majorHAnsi" w:hAnsiTheme="majorHAnsi"/>
          <w:sz w:val="24"/>
          <w:szCs w:val="24"/>
          <w:lang w:val="en-CA"/>
        </w:rPr>
        <w:t xml:space="preserve">The results of this project and the analysis from Canada’s fixed station </w:t>
      </w:r>
      <w:proofErr w:type="spellStart"/>
      <w:r w:rsidRPr="00CB716F">
        <w:rPr>
          <w:rFonts w:asciiTheme="majorHAnsi" w:hAnsiTheme="majorHAnsi"/>
          <w:sz w:val="24"/>
          <w:szCs w:val="24"/>
          <w:lang w:val="en-CA"/>
        </w:rPr>
        <w:t>Porbeagle</w:t>
      </w:r>
      <w:proofErr w:type="spellEnd"/>
      <w:r w:rsidRPr="00CB716F">
        <w:rPr>
          <w:rFonts w:asciiTheme="majorHAnsi" w:hAnsiTheme="majorHAnsi"/>
          <w:sz w:val="24"/>
          <w:szCs w:val="24"/>
          <w:lang w:val="en-CA"/>
        </w:rPr>
        <w:t xml:space="preserve"> survey were presented to the shark working group in 2020. Swordfish PSAT tagging work is ongoing and will be used in the development of ICCAT CPUE inputs.</w:t>
      </w:r>
      <w:r w:rsidRPr="00D86B2A">
        <w:rPr>
          <w:rFonts w:asciiTheme="majorHAnsi" w:hAnsiTheme="majorHAnsi"/>
          <w:color w:val="000000"/>
          <w:sz w:val="24"/>
          <w:szCs w:val="24"/>
          <w:lang w:val="en-CA"/>
        </w:rPr>
        <w:t xml:space="preserve"> Beginning in 2018 (and continuing in 2019, 2020, and 2021), Canada led the creation of an ICCAT/European Commission funded international research program for Swordfish in the Atlantic Ocean and Mediterranean Sea. This program aims to improve knowledge of the stock distribution, age and sex of the catch, growth rate, age at maturation, maturation rate, spawning season and location, and diet for each of the three ICCAT swordfish stocks</w:t>
      </w:r>
      <w:r w:rsidRPr="00CB716F">
        <w:rPr>
          <w:rFonts w:asciiTheme="majorHAnsi" w:hAnsiTheme="majorHAnsi"/>
          <w:color w:val="000000"/>
          <w:sz w:val="24"/>
          <w:szCs w:val="24"/>
          <w:lang w:val="en-CA"/>
        </w:rPr>
        <w:t>. These data and resulting analyses contribute to ICCAT assessment and MSE work.</w:t>
      </w:r>
    </w:p>
    <w:p w14:paraId="0331778B" w14:textId="77777777" w:rsidR="006B1DDD" w:rsidRPr="001A4CBA" w:rsidRDefault="006B1DDD" w:rsidP="006B1DDD">
      <w:pPr>
        <w:autoSpaceDE w:val="0"/>
        <w:autoSpaceDN w:val="0"/>
        <w:adjustRightInd w:val="0"/>
        <w:spacing w:line="240" w:lineRule="auto"/>
        <w:rPr>
          <w:rFonts w:asciiTheme="majorHAnsi" w:hAnsiTheme="majorHAnsi"/>
          <w:sz w:val="24"/>
          <w:szCs w:val="24"/>
          <w:lang w:val="en-CA" w:eastAsia="en-CA"/>
        </w:rPr>
      </w:pPr>
      <w:r w:rsidRPr="001A4CBA">
        <w:rPr>
          <w:rFonts w:asciiTheme="majorHAnsi" w:hAnsiTheme="majorHAnsi"/>
          <w:color w:val="000000"/>
          <w:sz w:val="24"/>
          <w:szCs w:val="24"/>
          <w:lang w:val="en-CA"/>
        </w:rPr>
        <w:t>Industry is fully engaged in the conservation and management efforts for this species to ensure its sustainability, including participation in scientific research, funding of independent at-sea observers to monitor the fishery and funding independent third party monitors who observe and record all landings at dockside. The harpoon fleet provides funds or in-kind vessel support for scientific research in lieu of at-sea observer coverage.</w:t>
      </w:r>
    </w:p>
    <w:p w14:paraId="1BC3BE2E" w14:textId="77777777" w:rsidR="006B1DDD" w:rsidRPr="001A4CBA" w:rsidRDefault="006B1DDD" w:rsidP="006B1DDD">
      <w:pPr>
        <w:spacing w:line="240" w:lineRule="auto"/>
        <w:rPr>
          <w:sz w:val="24"/>
          <w:szCs w:val="24"/>
          <w:lang w:val="en-CA"/>
        </w:rPr>
      </w:pPr>
      <w:r w:rsidRPr="001A4CBA">
        <w:rPr>
          <w:rFonts w:asciiTheme="majorHAnsi" w:hAnsiTheme="majorHAnsi"/>
          <w:color w:val="000000"/>
          <w:sz w:val="24"/>
          <w:szCs w:val="24"/>
          <w:lang w:val="en-CA"/>
        </w:rPr>
        <w:t>While Canada, like other ICCAT members, accepted significantly lower quotas during the rebuilding period of the fishery; Canada has demonstrated its ability to utilize its quota plus some of the quota received through transfers in previous years.</w:t>
      </w:r>
      <w:r w:rsidRPr="001A4CBA">
        <w:rPr>
          <w:sz w:val="24"/>
          <w:szCs w:val="24"/>
          <w:lang w:val="en-CA" w:eastAsia="en-CA"/>
        </w:rPr>
        <w:t xml:space="preserve"> </w:t>
      </w:r>
      <w:r w:rsidRPr="001A4CBA">
        <w:rPr>
          <w:rFonts w:asciiTheme="majorHAnsi" w:eastAsia="Times New Roman" w:hAnsiTheme="majorHAnsi" w:cs="Times New Roman"/>
          <w:color w:val="000000"/>
          <w:sz w:val="24"/>
          <w:szCs w:val="24"/>
          <w:lang w:val="en-CA" w:eastAsia="en-US"/>
        </w:rPr>
        <w:t>Canada will be seeking increased access to this fishery moving forward to ensure viability for its’ coastal communities.</w:t>
      </w:r>
    </w:p>
    <w:p w14:paraId="00D44E56" w14:textId="6CA71560" w:rsidR="002D030D" w:rsidRPr="006B1DDD" w:rsidRDefault="002D030D" w:rsidP="006B1DDD">
      <w:pPr>
        <w:rPr>
          <w:lang w:val="en-CA"/>
        </w:rPr>
      </w:pPr>
    </w:p>
    <w:sectPr w:rsidR="002D030D" w:rsidRPr="006B1DD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DD7"/>
    <w:rsid w:val="001A2C71"/>
    <w:rsid w:val="001A4CBA"/>
    <w:rsid w:val="002D030D"/>
    <w:rsid w:val="002D4F5F"/>
    <w:rsid w:val="00305143"/>
    <w:rsid w:val="0031275F"/>
    <w:rsid w:val="003D4FC3"/>
    <w:rsid w:val="00422E65"/>
    <w:rsid w:val="005148C4"/>
    <w:rsid w:val="00587269"/>
    <w:rsid w:val="005A53DB"/>
    <w:rsid w:val="005C019F"/>
    <w:rsid w:val="005D5DD7"/>
    <w:rsid w:val="006B1DDD"/>
    <w:rsid w:val="00920169"/>
    <w:rsid w:val="009628DF"/>
    <w:rsid w:val="009759DA"/>
    <w:rsid w:val="009C50D6"/>
    <w:rsid w:val="00BA2CDB"/>
    <w:rsid w:val="00BA4746"/>
    <w:rsid w:val="00CB716F"/>
    <w:rsid w:val="00CD13BE"/>
    <w:rsid w:val="00CF2BD4"/>
    <w:rsid w:val="00D50E04"/>
    <w:rsid w:val="00D83A48"/>
    <w:rsid w:val="00D86B2A"/>
    <w:rsid w:val="00DA1960"/>
    <w:rsid w:val="00DA3DF5"/>
    <w:rsid w:val="00E45BD3"/>
    <w:rsid w:val="00F943B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AAA91"/>
  <w15:docId w15:val="{C74CAE31-B0A0-46B4-ACD2-752726B2D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DD7"/>
    <w:rPr>
      <w:rFonts w:eastAsiaTheme="minorEastAsia"/>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D5DD7"/>
    <w:pPr>
      <w:spacing w:before="100" w:beforeAutospacing="1" w:after="100" w:afterAutospacing="1" w:line="240" w:lineRule="auto"/>
    </w:pPr>
    <w:rPr>
      <w:rFonts w:ascii="Verdana" w:eastAsia="Times New Roman" w:hAnsi="Verdana" w:cs="Times New Roman"/>
      <w:sz w:val="24"/>
      <w:szCs w:val="24"/>
      <w:lang w:val="en-CA" w:eastAsia="en-CA"/>
    </w:rPr>
  </w:style>
  <w:style w:type="character" w:styleId="CommentReference">
    <w:name w:val="annotation reference"/>
    <w:basedOn w:val="DefaultParagraphFont"/>
    <w:uiPriority w:val="99"/>
    <w:semiHidden/>
    <w:unhideWhenUsed/>
    <w:rsid w:val="001A4CBA"/>
    <w:rPr>
      <w:sz w:val="16"/>
      <w:szCs w:val="16"/>
    </w:rPr>
  </w:style>
  <w:style w:type="paragraph" w:styleId="CommentText">
    <w:name w:val="annotation text"/>
    <w:basedOn w:val="Normal"/>
    <w:link w:val="CommentTextChar"/>
    <w:uiPriority w:val="99"/>
    <w:semiHidden/>
    <w:unhideWhenUsed/>
    <w:rsid w:val="001A4CBA"/>
    <w:pPr>
      <w:spacing w:line="240" w:lineRule="auto"/>
    </w:pPr>
    <w:rPr>
      <w:sz w:val="20"/>
      <w:szCs w:val="20"/>
    </w:rPr>
  </w:style>
  <w:style w:type="character" w:customStyle="1" w:styleId="CommentTextChar">
    <w:name w:val="Comment Text Char"/>
    <w:basedOn w:val="DefaultParagraphFont"/>
    <w:link w:val="CommentText"/>
    <w:uiPriority w:val="99"/>
    <w:semiHidden/>
    <w:rsid w:val="001A4CBA"/>
    <w:rPr>
      <w:rFonts w:eastAsiaTheme="minorEastAsia"/>
      <w:sz w:val="20"/>
      <w:szCs w:val="20"/>
      <w:lang w:val="es-ES" w:eastAsia="es-ES"/>
    </w:rPr>
  </w:style>
  <w:style w:type="paragraph" w:styleId="CommentSubject">
    <w:name w:val="annotation subject"/>
    <w:basedOn w:val="CommentText"/>
    <w:next w:val="CommentText"/>
    <w:link w:val="CommentSubjectChar"/>
    <w:uiPriority w:val="99"/>
    <w:semiHidden/>
    <w:unhideWhenUsed/>
    <w:rsid w:val="001A4CBA"/>
    <w:rPr>
      <w:b/>
      <w:bCs/>
    </w:rPr>
  </w:style>
  <w:style w:type="character" w:customStyle="1" w:styleId="CommentSubjectChar">
    <w:name w:val="Comment Subject Char"/>
    <w:basedOn w:val="CommentTextChar"/>
    <w:link w:val="CommentSubject"/>
    <w:uiPriority w:val="99"/>
    <w:semiHidden/>
    <w:rsid w:val="001A4CBA"/>
    <w:rPr>
      <w:rFonts w:eastAsiaTheme="minorEastAsia"/>
      <w:b/>
      <w:bCs/>
      <w:sz w:val="20"/>
      <w:szCs w:val="20"/>
      <w:lang w:val="es-ES" w:eastAsia="es-ES"/>
    </w:rPr>
  </w:style>
  <w:style w:type="paragraph" w:styleId="BalloonText">
    <w:name w:val="Balloon Text"/>
    <w:basedOn w:val="Normal"/>
    <w:link w:val="BalloonTextChar"/>
    <w:uiPriority w:val="99"/>
    <w:semiHidden/>
    <w:unhideWhenUsed/>
    <w:rsid w:val="001A4C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4CBA"/>
    <w:rPr>
      <w:rFonts w:ascii="Segoe UI" w:eastAsiaTheme="minorEastAsia"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0790208">
      <w:bodyDiv w:val="1"/>
      <w:marLeft w:val="0"/>
      <w:marRight w:val="0"/>
      <w:marTop w:val="0"/>
      <w:marBottom w:val="0"/>
      <w:divBdr>
        <w:top w:val="none" w:sz="0" w:space="0" w:color="auto"/>
        <w:left w:val="none" w:sz="0" w:space="0" w:color="auto"/>
        <w:bottom w:val="none" w:sz="0" w:space="0" w:color="auto"/>
        <w:right w:val="none" w:sz="0" w:space="0" w:color="auto"/>
      </w:divBdr>
      <w:divsChild>
        <w:div w:id="1619067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971</Words>
  <Characters>5536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DFO-MPO</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DFO-MPO</dc:creator>
  <cp:lastModifiedBy>Smith-Laplante, Robynn-Bella</cp:lastModifiedBy>
  <cp:revision>4</cp:revision>
  <dcterms:created xsi:type="dcterms:W3CDTF">2021-09-08T16:27:00Z</dcterms:created>
  <dcterms:modified xsi:type="dcterms:W3CDTF">2021-09-10T19:39:00Z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fb733f-faef-464c-9b6d-731b56f94973_Enabled">
    <vt:lpwstr>true</vt:lpwstr>
  </property>
  <property fmtid="{D5CDD505-2E9C-101B-9397-08002B2CF9AE}" pid="3" name="MSIP_Label_1bfb733f-faef-464c-9b6d-731b56f94973_SetDate">
    <vt:lpwstr>2020-09-11T15:39:11Z</vt:lpwstr>
  </property>
  <property fmtid="{D5CDD505-2E9C-101B-9397-08002B2CF9AE}" pid="4" name="MSIP_Label_1bfb733f-faef-464c-9b6d-731b56f94973_Method">
    <vt:lpwstr>Standard</vt:lpwstr>
  </property>
  <property fmtid="{D5CDD505-2E9C-101B-9397-08002B2CF9AE}" pid="5" name="MSIP_Label_1bfb733f-faef-464c-9b6d-731b56f94973_Name">
    <vt:lpwstr>Unclass - Non-Classifié</vt:lpwstr>
  </property>
  <property fmtid="{D5CDD505-2E9C-101B-9397-08002B2CF9AE}" pid="6" name="MSIP_Label_1bfb733f-faef-464c-9b6d-731b56f94973_SiteId">
    <vt:lpwstr>1594fdae-a1d9-4405-915d-011467234338</vt:lpwstr>
  </property>
  <property fmtid="{D5CDD505-2E9C-101B-9397-08002B2CF9AE}" pid="7" name="MSIP_Label_1bfb733f-faef-464c-9b6d-731b56f94973_ActionId">
    <vt:lpwstr>9035cb66-c1a0-4cdf-8979-0000a2b6ddb4</vt:lpwstr>
  </property>
</Properties>
</file>